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5CC7" w14:textId="5E618984" w:rsidR="009E7EAA" w:rsidRPr="00E033A2" w:rsidRDefault="007004CC" w:rsidP="008B32A3">
      <w:pPr>
        <w:rPr>
          <w:color w:val="002060"/>
        </w:rPr>
      </w:pPr>
      <w:r w:rsidRPr="00E033A2">
        <w:rPr>
          <w:color w:val="002060"/>
        </w:rPr>
        <w:fldChar w:fldCharType="begin"/>
      </w:r>
      <w:r w:rsidR="003A68B1" w:rsidRPr="00E033A2">
        <w:rPr>
          <w:color w:val="002060"/>
        </w:rPr>
        <w:instrText xml:space="preserve"> INCLUDEPICTURE "C:\\var\\folders\\gh\\n_qb6by50jb0f6df5mjl9bkc0000gn\\T\\com.microsoft.Word\\WebArchiveCopyPasteTempFiles\\LogoColorNoText.jpeg" \* MERGEFORMAT </w:instrText>
      </w:r>
      <w:r w:rsidRPr="00E033A2">
        <w:rPr>
          <w:color w:val="002060"/>
        </w:rPr>
        <w:fldChar w:fldCharType="end"/>
      </w:r>
      <w:r w:rsidR="00C73DED" w:rsidRPr="00E033A2">
        <w:rPr>
          <w:rFonts w:ascii="Calibri" w:hAnsi="Calibri" w:cstheme="minorHAnsi"/>
          <w:b/>
          <w:color w:val="002060"/>
          <w:sz w:val="28"/>
          <w:szCs w:val="28"/>
        </w:rPr>
        <w:t>PQS Part 2</w:t>
      </w:r>
    </w:p>
    <w:p w14:paraId="095C3E74" w14:textId="01C9A260" w:rsidR="00C73DED" w:rsidRPr="00E033A2" w:rsidRDefault="00C73DED" w:rsidP="008B32A3">
      <w:pPr>
        <w:spacing w:before="22"/>
        <w:rPr>
          <w:rFonts w:ascii="Calibri" w:hAnsi="Calibri" w:cstheme="minorHAnsi"/>
          <w:b/>
          <w:color w:val="002060"/>
          <w:sz w:val="28"/>
          <w:szCs w:val="28"/>
        </w:rPr>
      </w:pPr>
      <w:r w:rsidRPr="00E033A2">
        <w:rPr>
          <w:rFonts w:ascii="Calibri" w:hAnsi="Calibri" w:cstheme="minorHAnsi"/>
          <w:b/>
          <w:color w:val="002060"/>
          <w:sz w:val="28"/>
          <w:szCs w:val="28"/>
        </w:rPr>
        <w:t xml:space="preserve">Training Summary </w:t>
      </w:r>
    </w:p>
    <w:p w14:paraId="5A65F64E" w14:textId="46B0203B" w:rsidR="00C73DED" w:rsidRPr="00E033A2" w:rsidRDefault="00C73DED" w:rsidP="008B32A3">
      <w:pPr>
        <w:spacing w:before="22"/>
        <w:rPr>
          <w:rFonts w:ascii="Calibri" w:hAnsi="Calibri" w:cstheme="minorHAnsi"/>
          <w:b/>
          <w:color w:val="002060"/>
          <w:sz w:val="28"/>
          <w:szCs w:val="28"/>
        </w:rPr>
      </w:pPr>
      <w:r w:rsidRPr="00E033A2">
        <w:rPr>
          <w:rFonts w:ascii="Calibri" w:hAnsi="Calibri" w:cstheme="minorHAnsi"/>
          <w:b/>
          <w:color w:val="002060"/>
          <w:sz w:val="28"/>
          <w:szCs w:val="28"/>
        </w:rPr>
        <w:t>September 2020</w:t>
      </w:r>
    </w:p>
    <w:p w14:paraId="7DE24202" w14:textId="77777777" w:rsidR="003E0176" w:rsidRPr="003E0176" w:rsidRDefault="003E0176" w:rsidP="00805D46">
      <w:pPr>
        <w:pStyle w:val="NormalWeb"/>
        <w:spacing w:before="240" w:beforeAutospacing="0" w:after="0" w:afterAutospacing="0"/>
        <w:jc w:val="both"/>
        <w:rPr>
          <w:rFonts w:cstheme="minorHAnsi"/>
          <w:color w:val="404040" w:themeColor="text1" w:themeTint="BF"/>
          <w:sz w:val="10"/>
          <w:szCs w:val="10"/>
          <w:u w:val="none"/>
        </w:rPr>
      </w:pPr>
    </w:p>
    <w:p w14:paraId="482E2FF4" w14:textId="3E98903D" w:rsidR="00C73DED" w:rsidRPr="009E7EAA" w:rsidRDefault="009E7EAA" w:rsidP="00805D46">
      <w:pPr>
        <w:pStyle w:val="NormalWeb"/>
        <w:spacing w:before="240" w:beforeAutospacing="0" w:after="0" w:afterAutospacing="0"/>
        <w:jc w:val="both"/>
        <w:rPr>
          <w:rFonts w:cstheme="minorHAnsi"/>
          <w:color w:val="404040" w:themeColor="text1" w:themeTint="BF"/>
          <w:sz w:val="22"/>
          <w:szCs w:val="22"/>
          <w:u w:val="none"/>
        </w:rPr>
      </w:pPr>
      <w:r w:rsidRPr="009E7EAA">
        <w:rPr>
          <w:rFonts w:cstheme="minorHAnsi"/>
          <w:color w:val="404040" w:themeColor="text1" w:themeTint="BF"/>
          <w:sz w:val="22"/>
          <w:szCs w:val="22"/>
          <w:u w:val="none"/>
        </w:rPr>
        <w:t xml:space="preserve">The LPC has prepared </w:t>
      </w:r>
      <w:r>
        <w:rPr>
          <w:rFonts w:cstheme="minorHAnsi"/>
          <w:color w:val="404040" w:themeColor="text1" w:themeTint="BF"/>
          <w:sz w:val="22"/>
          <w:szCs w:val="22"/>
          <w:u w:val="none"/>
        </w:rPr>
        <w:t xml:space="preserve">this </w:t>
      </w:r>
      <w:r w:rsidR="00C73DED">
        <w:rPr>
          <w:rFonts w:cstheme="minorHAnsi"/>
          <w:color w:val="404040" w:themeColor="text1" w:themeTint="BF"/>
          <w:sz w:val="22"/>
          <w:szCs w:val="22"/>
          <w:u w:val="none"/>
        </w:rPr>
        <w:t xml:space="preserve">summary </w:t>
      </w:r>
      <w:r w:rsidRPr="009E7EAA">
        <w:rPr>
          <w:rFonts w:cstheme="minorHAnsi"/>
          <w:color w:val="404040" w:themeColor="text1" w:themeTint="BF"/>
          <w:sz w:val="22"/>
          <w:szCs w:val="22"/>
          <w:u w:val="none"/>
        </w:rPr>
        <w:t xml:space="preserve">to help you to </w:t>
      </w:r>
      <w:r w:rsidR="00C73DED">
        <w:rPr>
          <w:rFonts w:cstheme="minorHAnsi"/>
          <w:color w:val="404040" w:themeColor="text1" w:themeTint="BF"/>
          <w:sz w:val="22"/>
          <w:szCs w:val="22"/>
          <w:u w:val="none"/>
        </w:rPr>
        <w:t>support you and your pharmacy team to complete the required training for PQS Part 2.</w:t>
      </w:r>
    </w:p>
    <w:p w14:paraId="02BE87C4" w14:textId="15C462C6" w:rsidR="009E7EAA" w:rsidRDefault="00C73DED" w:rsidP="00805D46">
      <w:pPr>
        <w:pStyle w:val="NormalWeb"/>
        <w:spacing w:before="240" w:beforeAutospacing="0" w:after="0" w:afterAutospacing="0"/>
        <w:jc w:val="both"/>
        <w:rPr>
          <w:rFonts w:cstheme="minorHAnsi"/>
          <w:color w:val="C00000"/>
          <w:sz w:val="22"/>
          <w:szCs w:val="22"/>
          <w:u w:val="none"/>
        </w:rPr>
      </w:pPr>
      <w:r w:rsidRPr="00C73DED">
        <w:rPr>
          <w:rFonts w:cstheme="minorHAnsi"/>
          <w:color w:val="000000" w:themeColor="text1"/>
          <w:sz w:val="22"/>
          <w:szCs w:val="22"/>
          <w:u w:val="none"/>
        </w:rPr>
        <w:t xml:space="preserve">Full details for the PQS can be found on the PSNC Website: </w:t>
      </w:r>
      <w:hyperlink r:id="rId8" w:history="1">
        <w:r w:rsidRPr="007A45ED">
          <w:rPr>
            <w:rStyle w:val="Hyperlink"/>
            <w:sz w:val="22"/>
            <w:szCs w:val="22"/>
          </w:rPr>
          <w:t>https://psnc.org.uk/services-commissioning/pharmacy-quality-scheme/</w:t>
        </w:r>
      </w:hyperlink>
    </w:p>
    <w:p w14:paraId="2A0DF74F" w14:textId="77777777" w:rsidR="005B22CE" w:rsidRPr="005B22CE" w:rsidRDefault="005B22CE" w:rsidP="005B22CE">
      <w:pPr>
        <w:pStyle w:val="NormalWeb"/>
        <w:spacing w:before="0" w:beforeAutospacing="0" w:after="0" w:afterAutospacing="0"/>
        <w:jc w:val="both"/>
        <w:rPr>
          <w:rFonts w:cstheme="minorHAnsi"/>
          <w:color w:val="C00000"/>
          <w:sz w:val="22"/>
          <w:szCs w:val="22"/>
          <w:u w:val="none"/>
        </w:rPr>
      </w:pPr>
    </w:p>
    <w:tbl>
      <w:tblPr>
        <w:tblStyle w:val="GridTable1Light-Accent3"/>
        <w:tblW w:w="15153" w:type="dxa"/>
        <w:tblBorders>
          <w:top w:val="single" w:sz="12" w:space="0" w:color="E50063"/>
          <w:left w:val="single" w:sz="12" w:space="0" w:color="E50063"/>
          <w:bottom w:val="single" w:sz="12" w:space="0" w:color="E50063"/>
          <w:right w:val="single" w:sz="12" w:space="0" w:color="E50063"/>
          <w:insideH w:val="single" w:sz="12" w:space="0" w:color="E50063"/>
          <w:insideV w:val="single" w:sz="12" w:space="0" w:color="E50063"/>
        </w:tblBorders>
        <w:tblLook w:val="04A0" w:firstRow="1" w:lastRow="0" w:firstColumn="1" w:lastColumn="0" w:noHBand="0" w:noVBand="1"/>
      </w:tblPr>
      <w:tblGrid>
        <w:gridCol w:w="7356"/>
        <w:gridCol w:w="3261"/>
        <w:gridCol w:w="4536"/>
      </w:tblGrid>
      <w:tr w:rsidR="0088343C" w:rsidRPr="005B22CE" w14:paraId="7C7EBC6A" w14:textId="2878D319" w:rsidTr="00E0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tcBorders>
              <w:bottom w:val="none" w:sz="0" w:space="0" w:color="auto"/>
            </w:tcBorders>
          </w:tcPr>
          <w:p w14:paraId="626B23E5" w14:textId="597964D1" w:rsidR="0088343C" w:rsidRPr="008B32A3" w:rsidRDefault="0088343C" w:rsidP="00962F55">
            <w:pPr>
              <w:pStyle w:val="NormalWeb"/>
              <w:spacing w:before="0" w:beforeAutospacing="0" w:after="0" w:afterAutospacing="0"/>
              <w:rPr>
                <w:rFonts w:cstheme="minorHAnsi"/>
                <w:color w:val="E50063"/>
                <w:sz w:val="22"/>
                <w:szCs w:val="22"/>
                <w:u w:val="none"/>
              </w:rPr>
            </w:pPr>
            <w:r w:rsidRPr="008B32A3">
              <w:rPr>
                <w:rFonts w:cstheme="minorHAnsi"/>
                <w:color w:val="E50063"/>
                <w:sz w:val="22"/>
                <w:szCs w:val="22"/>
                <w:u w:val="none"/>
              </w:rPr>
              <w:t>Action</w:t>
            </w:r>
          </w:p>
        </w:tc>
        <w:tc>
          <w:tcPr>
            <w:tcW w:w="3261" w:type="dxa"/>
            <w:tcBorders>
              <w:bottom w:val="none" w:sz="0" w:space="0" w:color="auto"/>
            </w:tcBorders>
          </w:tcPr>
          <w:p w14:paraId="434D0327" w14:textId="61C6EFA0" w:rsidR="0088343C" w:rsidRPr="008B32A3" w:rsidRDefault="0088343C" w:rsidP="00962F55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50063"/>
                <w:sz w:val="22"/>
                <w:szCs w:val="22"/>
                <w:u w:val="none"/>
              </w:rPr>
            </w:pPr>
            <w:r w:rsidRPr="008B32A3">
              <w:rPr>
                <w:rFonts w:cstheme="minorHAnsi"/>
                <w:color w:val="E50063"/>
                <w:sz w:val="22"/>
                <w:szCs w:val="22"/>
                <w:u w:val="none"/>
              </w:rPr>
              <w:t xml:space="preserve"> Who </w:t>
            </w:r>
          </w:p>
        </w:tc>
        <w:tc>
          <w:tcPr>
            <w:tcW w:w="4536" w:type="dxa"/>
            <w:tcBorders>
              <w:bottom w:val="none" w:sz="0" w:space="0" w:color="auto"/>
            </w:tcBorders>
          </w:tcPr>
          <w:p w14:paraId="3E471DC1" w14:textId="4D20608A" w:rsidR="0088343C" w:rsidRPr="008B32A3" w:rsidRDefault="0088343C" w:rsidP="00962F55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50063"/>
                <w:sz w:val="22"/>
                <w:szCs w:val="22"/>
                <w:u w:val="none"/>
              </w:rPr>
            </w:pPr>
            <w:r w:rsidRPr="008B32A3">
              <w:rPr>
                <w:rFonts w:cstheme="minorHAnsi"/>
                <w:color w:val="E50063"/>
                <w:sz w:val="22"/>
                <w:szCs w:val="22"/>
                <w:u w:val="none"/>
              </w:rPr>
              <w:t xml:space="preserve">Detail your staff here </w:t>
            </w:r>
          </w:p>
        </w:tc>
      </w:tr>
      <w:tr w:rsidR="0088343C" w:rsidRPr="005B22CE" w14:paraId="6C47D650" w14:textId="494D4D61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250F3921" w14:textId="25B51F40" w:rsidR="0088343C" w:rsidRPr="005B22CE" w:rsidRDefault="0088343C" w:rsidP="005B22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22CE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the HEE Infection Prevention and Control Level 1 e-learning and assessment: </w:t>
            </w:r>
            <w:hyperlink r:id="rId9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https://portal.e-lfh.org.uk/Component/Details/459777</w:t>
              </w:r>
            </w:hyperlink>
          </w:p>
        </w:tc>
        <w:tc>
          <w:tcPr>
            <w:tcW w:w="3261" w:type="dxa"/>
          </w:tcPr>
          <w:p w14:paraId="540F5BF6" w14:textId="4425338A" w:rsidR="0088343C" w:rsidRPr="005B22CE" w:rsidRDefault="0088343C" w:rsidP="005B22C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2"/>
                <w:szCs w:val="22"/>
                <w:u w:val="none"/>
              </w:rPr>
            </w:pPr>
            <w:r w:rsidRPr="005B22CE">
              <w:rPr>
                <w:rFonts w:cstheme="minorHAnsi"/>
                <w:color w:val="444444"/>
                <w:sz w:val="22"/>
                <w:szCs w:val="22"/>
                <w:u w:val="none"/>
              </w:rPr>
              <w:t>All</w:t>
            </w:r>
            <w:r w:rsidRPr="005B22CE">
              <w:rPr>
                <w:rStyle w:val="apple-converted-space"/>
                <w:rFonts w:cstheme="minorHAnsi"/>
                <w:color w:val="444444"/>
                <w:sz w:val="22"/>
                <w:szCs w:val="22"/>
                <w:u w:val="none"/>
              </w:rPr>
              <w:t> </w:t>
            </w:r>
            <w:r w:rsidRPr="005B22CE">
              <w:rPr>
                <w:rStyle w:val="Strong"/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>non-registered pharmacy staff</w:t>
            </w:r>
            <w:r w:rsidRPr="005B22CE">
              <w:rPr>
                <w:rStyle w:val="apple-converted-space"/>
                <w:rFonts w:cstheme="minorHAnsi"/>
                <w:color w:val="444444"/>
                <w:sz w:val="22"/>
                <w:szCs w:val="22"/>
                <w:u w:val="none"/>
              </w:rPr>
              <w:t> </w:t>
            </w:r>
            <w:r w:rsidRPr="005B22CE">
              <w:rPr>
                <w:rFonts w:cstheme="minorHAnsi"/>
                <w:color w:val="444444"/>
                <w:sz w:val="22"/>
                <w:szCs w:val="22"/>
                <w:u w:val="none"/>
              </w:rPr>
              <w:t>working at the pharmacy</w:t>
            </w:r>
          </w:p>
        </w:tc>
        <w:tc>
          <w:tcPr>
            <w:tcW w:w="4536" w:type="dxa"/>
          </w:tcPr>
          <w:p w14:paraId="359E5B07" w14:textId="77777777" w:rsidR="0088343C" w:rsidRPr="005B22CE" w:rsidRDefault="0088343C" w:rsidP="005B22C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4444"/>
                <w:sz w:val="22"/>
                <w:szCs w:val="22"/>
                <w:u w:val="none"/>
              </w:rPr>
            </w:pPr>
          </w:p>
        </w:tc>
      </w:tr>
      <w:tr w:rsidR="0088343C" w:rsidRPr="005B22CE" w14:paraId="2536BE1A" w14:textId="1716FEC0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1AF5B520" w14:textId="0C18AC2C" w:rsidR="0088343C" w:rsidRPr="005B22CE" w:rsidRDefault="0088343C" w:rsidP="005B22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22CE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the HEE Infection Prevention and Control Level 2 e-learning and assessment: </w:t>
            </w:r>
            <w:hyperlink r:id="rId10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https://portal.e-lfh.org.uk/Component/Details/558047</w:t>
              </w:r>
            </w:hyperlink>
          </w:p>
        </w:tc>
        <w:tc>
          <w:tcPr>
            <w:tcW w:w="3261" w:type="dxa"/>
          </w:tcPr>
          <w:p w14:paraId="5F323C0E" w14:textId="5D420653" w:rsidR="0088343C" w:rsidRPr="005B22CE" w:rsidRDefault="0088343C" w:rsidP="005B22C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2"/>
                <w:szCs w:val="22"/>
                <w:u w:val="none"/>
              </w:rPr>
            </w:pPr>
            <w:r w:rsidRPr="005B22CE">
              <w:rPr>
                <w:rFonts w:cstheme="minorHAnsi"/>
                <w:color w:val="444444"/>
                <w:sz w:val="22"/>
                <w:szCs w:val="22"/>
                <w:u w:val="none"/>
              </w:rPr>
              <w:t>All</w:t>
            </w:r>
            <w:r w:rsidRPr="005B22CE">
              <w:rPr>
                <w:rStyle w:val="apple-converted-space"/>
                <w:rFonts w:cstheme="minorHAnsi"/>
                <w:color w:val="444444"/>
                <w:sz w:val="22"/>
                <w:szCs w:val="22"/>
                <w:u w:val="none"/>
              </w:rPr>
              <w:t> </w:t>
            </w:r>
            <w:r w:rsidRPr="005B22CE">
              <w:rPr>
                <w:rStyle w:val="Strong"/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>registered pharmacy professionals</w:t>
            </w:r>
            <w:r w:rsidRPr="005B22CE">
              <w:rPr>
                <w:rStyle w:val="apple-converted-space"/>
                <w:rFonts w:cstheme="minorHAnsi"/>
                <w:color w:val="444444"/>
                <w:sz w:val="22"/>
                <w:szCs w:val="22"/>
                <w:u w:val="none"/>
              </w:rPr>
              <w:t> </w:t>
            </w:r>
          </w:p>
        </w:tc>
        <w:tc>
          <w:tcPr>
            <w:tcW w:w="4536" w:type="dxa"/>
          </w:tcPr>
          <w:p w14:paraId="6837D21B" w14:textId="77777777" w:rsidR="0088343C" w:rsidRPr="005B22CE" w:rsidRDefault="0088343C" w:rsidP="005B22C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4444"/>
                <w:sz w:val="22"/>
                <w:szCs w:val="22"/>
                <w:u w:val="none"/>
              </w:rPr>
            </w:pPr>
          </w:p>
        </w:tc>
      </w:tr>
      <w:tr w:rsidR="0088343C" w:rsidRPr="005B22CE" w14:paraId="6F4C918F" w14:textId="40844527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0945D59C" w14:textId="4DEF8B9A" w:rsidR="0088343C" w:rsidRDefault="0088343C" w:rsidP="005B22CE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Complete the PHE </w:t>
            </w:r>
            <w:r w:rsidRPr="005B22CE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Antimicrobial Stewardship for Community Pharmacy </w:t>
            </w:r>
            <w:r w:rsidRPr="005B22CE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e-learning and assessment: </w:t>
            </w:r>
            <w:r w:rsidRPr="005B22C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hyperlink r:id="rId11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https://portal.e-lfh.org.uk/Component/Details/602874</w:t>
              </w:r>
            </w:hyperlink>
          </w:p>
          <w:p w14:paraId="217B1A87" w14:textId="2B16158F" w:rsidR="0088343C" w:rsidRPr="005B22CE" w:rsidRDefault="0088343C" w:rsidP="005B22CE">
            <w:pP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AB57B6C" w14:textId="1EF1B309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All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Style w:val="Strong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patient-facing pharmacy staff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that provide advice on medicines or healthcare</w:t>
            </w:r>
          </w:p>
        </w:tc>
        <w:tc>
          <w:tcPr>
            <w:tcW w:w="4536" w:type="dxa"/>
          </w:tcPr>
          <w:p w14:paraId="2D5DBFDD" w14:textId="77777777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</w:tc>
      </w:tr>
      <w:tr w:rsidR="0088343C" w:rsidRPr="005B22CE" w14:paraId="17632220" w14:textId="00963AD6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48E15A73" w14:textId="10F34748" w:rsidR="0088343C" w:rsidRDefault="0088343C" w:rsidP="005B22CE">
            <w:pPr>
              <w:pStyle w:val="NormalWeb"/>
              <w:spacing w:before="0" w:beforeAutospacing="0" w:after="0" w:afterAutospacing="0"/>
              <w:rPr>
                <w:rFonts w:cstheme="minorHAnsi"/>
                <w:color w:val="404040" w:themeColor="text1" w:themeTint="BF"/>
                <w:sz w:val="22"/>
                <w:szCs w:val="22"/>
                <w:u w:val="none"/>
              </w:rPr>
            </w:pPr>
            <w:r w:rsidRPr="005B22CE">
              <w:rPr>
                <w:rFonts w:cstheme="minorHAnsi"/>
                <w:b w:val="0"/>
                <w:bCs w:val="0"/>
                <w:color w:val="404040" w:themeColor="text1" w:themeTint="BF"/>
                <w:sz w:val="22"/>
                <w:szCs w:val="22"/>
                <w:u w:val="none"/>
              </w:rPr>
              <w:t xml:space="preserve">Become an anti-biotic guardian: </w:t>
            </w:r>
            <w:hyperlink r:id="rId12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https://antibioticguardian.com</w:t>
              </w:r>
            </w:hyperlink>
          </w:p>
          <w:p w14:paraId="6DE0B8D5" w14:textId="7A6D2996" w:rsidR="0088343C" w:rsidRPr="005B22CE" w:rsidRDefault="0088343C" w:rsidP="005B22CE">
            <w:pPr>
              <w:pStyle w:val="NormalWeb"/>
              <w:spacing w:before="0" w:beforeAutospacing="0" w:after="0" w:afterAutospacing="0"/>
              <w:rPr>
                <w:rFonts w:cstheme="minorHAnsi"/>
                <w:b w:val="0"/>
                <w:bCs w:val="0"/>
                <w:color w:val="404040" w:themeColor="text1" w:themeTint="BF"/>
                <w:sz w:val="22"/>
                <w:szCs w:val="22"/>
                <w:u w:val="none"/>
              </w:rPr>
            </w:pPr>
          </w:p>
        </w:tc>
        <w:tc>
          <w:tcPr>
            <w:tcW w:w="3261" w:type="dxa"/>
          </w:tcPr>
          <w:p w14:paraId="611FAE00" w14:textId="026FF0F6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All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Style w:val="Strong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patient-facing pharmacy staff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that provide advice on medicines or healthcar</w:t>
            </w:r>
            <w:r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e</w:t>
            </w:r>
          </w:p>
        </w:tc>
        <w:tc>
          <w:tcPr>
            <w:tcW w:w="4536" w:type="dxa"/>
          </w:tcPr>
          <w:p w14:paraId="1E5BC40A" w14:textId="77777777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</w:tc>
      </w:tr>
      <w:tr w:rsidR="0088343C" w:rsidRPr="005B22CE" w14:paraId="77E67C2F" w14:textId="417C7220" w:rsidTr="00E033A2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3352AAB8" w14:textId="5CE2969A" w:rsidR="0088343C" w:rsidRDefault="0088343C" w:rsidP="005B22CE">
            <w:pPr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Complete the Zero Suicide Alliance Training</w:t>
            </w:r>
            <w:r w:rsidR="005C4B51">
              <w:rPr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:</w:t>
            </w:r>
          </w:p>
          <w:p w14:paraId="58B79F39" w14:textId="21E42F5B" w:rsidR="0088343C" w:rsidRPr="005B22CE" w:rsidRDefault="002A4BF0" w:rsidP="005B22C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3" w:history="1">
              <w:r w:rsidR="0088343C"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https://www.zerosuicidealliance.com/training/pharmacy-quality-standard-training?utm_source=pharmacy&amp;utm_campaign=quality_standard</w:t>
              </w:r>
            </w:hyperlink>
          </w:p>
        </w:tc>
        <w:tc>
          <w:tcPr>
            <w:tcW w:w="3261" w:type="dxa"/>
          </w:tcPr>
          <w:p w14:paraId="176424DA" w14:textId="49F98868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All</w:t>
            </w:r>
            <w:r w:rsidRPr="005B22CE">
              <w:rPr>
                <w:rStyle w:val="Strong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*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Style w:val="Strong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patient-facing staff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working at the pharmacy</w:t>
            </w:r>
          </w:p>
        </w:tc>
        <w:tc>
          <w:tcPr>
            <w:tcW w:w="4536" w:type="dxa"/>
          </w:tcPr>
          <w:p w14:paraId="5E330755" w14:textId="77777777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</w:tc>
      </w:tr>
      <w:tr w:rsidR="0088343C" w:rsidRPr="005B22CE" w14:paraId="2A77AC00" w14:textId="66AD37F8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4027BD31" w14:textId="0B022881" w:rsidR="0088343C" w:rsidRPr="005B22CE" w:rsidRDefault="0088343C" w:rsidP="005B22C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Complete the</w:t>
            </w:r>
            <w:r w:rsidRPr="005B22CE"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PHE All Our Health bitesize training and assessments on Adult Obesity and Childhood Obesity: </w:t>
            </w:r>
            <w:hyperlink r:id="rId14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https://www.e-lfh.org.uk/programmes/all-our-health/</w:t>
              </w:r>
            </w:hyperlink>
          </w:p>
        </w:tc>
        <w:tc>
          <w:tcPr>
            <w:tcW w:w="3261" w:type="dxa"/>
          </w:tcPr>
          <w:p w14:paraId="4F91E128" w14:textId="593B66D1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All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Style w:val="Strong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non-registered patient-facing pharmacy staff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that provide health promoting advic</w:t>
            </w:r>
            <w:r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e</w:t>
            </w:r>
          </w:p>
        </w:tc>
        <w:tc>
          <w:tcPr>
            <w:tcW w:w="4536" w:type="dxa"/>
          </w:tcPr>
          <w:p w14:paraId="1E491B1C" w14:textId="77777777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</w:tc>
      </w:tr>
      <w:tr w:rsidR="0088343C" w:rsidRPr="005B22CE" w14:paraId="0C88FBB2" w14:textId="75A1B7DE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4C0E4820" w14:textId="1381D33E" w:rsidR="0088343C" w:rsidRPr="005B22CE" w:rsidRDefault="0088343C" w:rsidP="005B22CE">
            <w:pPr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 xml:space="preserve">Complete sections 1 and 3 of the ‘CPPE Weight management for adults: understanding the management of obesity training’ and assessment: </w:t>
            </w:r>
            <w:hyperlink r:id="rId15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https://www.cppe.ac.uk/programmes/l/weightman-e-01</w:t>
              </w:r>
            </w:hyperlink>
          </w:p>
        </w:tc>
        <w:tc>
          <w:tcPr>
            <w:tcW w:w="3261" w:type="dxa"/>
          </w:tcPr>
          <w:p w14:paraId="5AF1E271" w14:textId="482A22B2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80% of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Style w:val="Strong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registered pharmacy professionals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working at the pharmacy</w:t>
            </w:r>
          </w:p>
        </w:tc>
        <w:tc>
          <w:tcPr>
            <w:tcW w:w="4536" w:type="dxa"/>
          </w:tcPr>
          <w:p w14:paraId="5817B06A" w14:textId="77777777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</w:tc>
      </w:tr>
      <w:tr w:rsidR="0088343C" w:rsidRPr="005B22CE" w14:paraId="7BB37D2A" w14:textId="1FD7BA96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4334B7CF" w14:textId="3909CB87" w:rsidR="0088343C" w:rsidRPr="005B22CE" w:rsidRDefault="0088343C" w:rsidP="005B22C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lastRenderedPageBreak/>
              <w:t>Completed the</w:t>
            </w:r>
            <w:r w:rsidRPr="005B22CE"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CPPE risk management training and e-assessment: </w:t>
            </w:r>
            <w:hyperlink r:id="rId16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https://www.cppe.ac.uk/programmes/l/riskman-g-02</w:t>
              </w:r>
            </w:hyperlink>
          </w:p>
          <w:p w14:paraId="7E2C8BB1" w14:textId="7DAAF23A" w:rsidR="0088343C" w:rsidRPr="005B22CE" w:rsidRDefault="0088343C" w:rsidP="005B22C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If the training and assessment were satisfactorily completed between 1st April 2018 and 31st March 2020, this does not need to be repeated in 2020/2</w:t>
            </w:r>
            <w:r>
              <w:rPr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0DF7EFB4" w14:textId="221B96B4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80% of all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Style w:val="Strong"/>
                <w:rFonts w:asciiTheme="minorHAnsi" w:hAnsiTheme="minorHAnsi" w:cstheme="minorHAnsi"/>
                <w:b w:val="0"/>
                <w:bCs w:val="0"/>
                <w:color w:val="444444"/>
                <w:sz w:val="22"/>
                <w:szCs w:val="22"/>
              </w:rPr>
              <w:t>registered pharmacy professionals</w:t>
            </w:r>
            <w:r w:rsidRPr="005B22CE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5B22CE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working at the pharmacy</w:t>
            </w:r>
          </w:p>
        </w:tc>
        <w:tc>
          <w:tcPr>
            <w:tcW w:w="4536" w:type="dxa"/>
          </w:tcPr>
          <w:p w14:paraId="321DCB6F" w14:textId="77777777" w:rsidR="0088343C" w:rsidRPr="005B22CE" w:rsidRDefault="0088343C" w:rsidP="005B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</w:tc>
      </w:tr>
      <w:tr w:rsidR="0088343C" w:rsidRPr="005B22CE" w14:paraId="51D8A361" w14:textId="3C122AFB" w:rsidTr="00E03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</w:tcPr>
          <w:p w14:paraId="2FD5BDFA" w14:textId="0B74F24B" w:rsidR="0088343C" w:rsidRPr="005B22CE" w:rsidRDefault="0088343C" w:rsidP="005B22CE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  <w:u w:val="none"/>
              </w:rPr>
            </w:pPr>
            <w:r w:rsidRPr="005B22CE">
              <w:rPr>
                <w:rStyle w:val="Strong"/>
                <w:rFonts w:cstheme="minorHAnsi"/>
                <w:color w:val="444444"/>
                <w:sz w:val="22"/>
                <w:szCs w:val="22"/>
                <w:u w:val="none"/>
              </w:rPr>
              <w:t>Pharmacy contractors that DID NOT complete the risk review as part of the Risk management and safety domain for the PQS 2019/20</w:t>
            </w:r>
            <w:r w:rsidRPr="005B22CE">
              <w:rPr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>, who wish to claim for this domain must</w:t>
            </w:r>
            <w:r>
              <w:rPr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 xml:space="preserve"> c</w:t>
            </w:r>
            <w:r w:rsidRPr="005B22CE">
              <w:rPr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>ompleted the</w:t>
            </w:r>
            <w:r w:rsidRPr="005B22CE">
              <w:rPr>
                <w:rStyle w:val="apple-converted-space"/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> </w:t>
            </w:r>
            <w:r w:rsidRPr="005B22CE">
              <w:rPr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>CPPE sepsis online training and assessment:</w:t>
            </w:r>
            <w:r w:rsidRPr="005B22CE">
              <w:rPr>
                <w:rFonts w:cstheme="minorHAns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hyperlink r:id="rId17" w:history="1">
              <w:r w:rsidRPr="005B22CE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https://www.cppe.ac.uk/gateway/sepsis</w:t>
              </w:r>
            </w:hyperlink>
          </w:p>
        </w:tc>
        <w:tc>
          <w:tcPr>
            <w:tcW w:w="3261" w:type="dxa"/>
          </w:tcPr>
          <w:p w14:paraId="35E5F444" w14:textId="273062E5" w:rsidR="0088343C" w:rsidRPr="005B22CE" w:rsidRDefault="0088343C" w:rsidP="005B22C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2"/>
                <w:szCs w:val="22"/>
                <w:u w:val="none"/>
              </w:rPr>
            </w:pPr>
            <w:r w:rsidRPr="005B22CE">
              <w:rPr>
                <w:rFonts w:cstheme="minorHAnsi"/>
                <w:color w:val="444444"/>
                <w:sz w:val="22"/>
                <w:szCs w:val="22"/>
                <w:u w:val="none"/>
              </w:rPr>
              <w:t>80% of all</w:t>
            </w:r>
            <w:r w:rsidRPr="005B22CE">
              <w:rPr>
                <w:rStyle w:val="apple-converted-space"/>
                <w:rFonts w:cstheme="minorHAnsi"/>
                <w:color w:val="444444"/>
                <w:sz w:val="22"/>
                <w:szCs w:val="22"/>
                <w:u w:val="none"/>
              </w:rPr>
              <w:t> </w:t>
            </w:r>
            <w:r w:rsidRPr="005B22CE">
              <w:rPr>
                <w:rStyle w:val="Strong"/>
                <w:rFonts w:cstheme="minorHAnsi"/>
                <w:b w:val="0"/>
                <w:bCs w:val="0"/>
                <w:color w:val="444444"/>
                <w:sz w:val="22"/>
                <w:szCs w:val="22"/>
                <w:u w:val="none"/>
              </w:rPr>
              <w:t>registered pharmacy professionals</w:t>
            </w:r>
            <w:r w:rsidRPr="005B22CE">
              <w:rPr>
                <w:rStyle w:val="apple-converted-space"/>
                <w:rFonts w:cstheme="minorHAnsi"/>
                <w:color w:val="444444"/>
                <w:sz w:val="22"/>
                <w:szCs w:val="22"/>
                <w:u w:val="none"/>
              </w:rPr>
              <w:t> </w:t>
            </w:r>
            <w:r w:rsidRPr="005B22CE">
              <w:rPr>
                <w:rFonts w:cstheme="minorHAnsi"/>
                <w:color w:val="444444"/>
                <w:sz w:val="22"/>
                <w:szCs w:val="22"/>
                <w:u w:val="none"/>
              </w:rPr>
              <w:t>working in the</w:t>
            </w:r>
            <w:r>
              <w:rPr>
                <w:rFonts w:cstheme="minorHAnsi"/>
                <w:color w:val="444444"/>
                <w:sz w:val="22"/>
                <w:szCs w:val="22"/>
                <w:u w:val="none"/>
              </w:rPr>
              <w:t xml:space="preserve"> pharmacy</w:t>
            </w:r>
          </w:p>
        </w:tc>
        <w:tc>
          <w:tcPr>
            <w:tcW w:w="4536" w:type="dxa"/>
          </w:tcPr>
          <w:p w14:paraId="2007A7DE" w14:textId="77777777" w:rsidR="0088343C" w:rsidRPr="005B22CE" w:rsidRDefault="0088343C" w:rsidP="005B22C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4444"/>
                <w:sz w:val="22"/>
                <w:szCs w:val="22"/>
                <w:u w:val="none"/>
              </w:rPr>
            </w:pPr>
          </w:p>
        </w:tc>
      </w:tr>
    </w:tbl>
    <w:p w14:paraId="6AD4B4D5" w14:textId="1CD1019C" w:rsidR="00C73DED" w:rsidRPr="00C73DED" w:rsidRDefault="00C73DED" w:rsidP="00C73DED">
      <w:pPr>
        <w:pStyle w:val="NormalWeb"/>
        <w:spacing w:before="240" w:beforeAutospacing="0" w:after="0" w:afterAutospacing="0"/>
        <w:jc w:val="both"/>
        <w:rPr>
          <w:rFonts w:cstheme="minorHAnsi"/>
          <w:b/>
          <w:bCs/>
          <w:color w:val="C00000"/>
          <w:sz w:val="22"/>
          <w:szCs w:val="22"/>
          <w:u w:val="none"/>
        </w:rPr>
      </w:pPr>
      <w:r w:rsidRPr="00C73DED">
        <w:rPr>
          <w:rFonts w:cstheme="minorHAnsi"/>
          <w:b/>
          <w:bCs/>
          <w:color w:val="C00000"/>
          <w:sz w:val="22"/>
          <w:szCs w:val="22"/>
          <w:u w:val="none"/>
        </w:rPr>
        <w:t xml:space="preserve">Please note: This summary </w:t>
      </w:r>
      <w:r w:rsidRPr="00C73DED">
        <w:rPr>
          <w:rFonts w:cstheme="minorHAnsi"/>
          <w:b/>
          <w:bCs/>
          <w:color w:val="C00000"/>
          <w:sz w:val="22"/>
          <w:szCs w:val="22"/>
        </w:rPr>
        <w:t>does not</w:t>
      </w:r>
      <w:r w:rsidRPr="00C73DED">
        <w:rPr>
          <w:rFonts w:cstheme="minorHAnsi"/>
          <w:b/>
          <w:bCs/>
          <w:color w:val="C00000"/>
          <w:sz w:val="22"/>
          <w:szCs w:val="22"/>
          <w:u w:val="none"/>
        </w:rPr>
        <w:t xml:space="preserve"> replace the requirement to fully read and understand the Pharmacy Quality Scheme before making your claim.</w:t>
      </w:r>
    </w:p>
    <w:p w14:paraId="55CD6C78" w14:textId="51710749" w:rsidR="00A635C5" w:rsidRDefault="00A635C5" w:rsidP="00805D46">
      <w:pPr>
        <w:ind w:right="81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8316311" w14:textId="303C6AAE" w:rsidR="00BA3BDE" w:rsidRPr="00CC2A71" w:rsidRDefault="00BA3BDE" w:rsidP="00CC2A71">
      <w:pPr>
        <w:rPr>
          <w:rFonts w:ascii="Calibri" w:hAnsi="Calibri" w:cs="Calibri"/>
        </w:rPr>
      </w:pPr>
      <w:r w:rsidRPr="005B22CE">
        <w:rPr>
          <w:rStyle w:val="Strong"/>
          <w:rFonts w:ascii="Calibri" w:hAnsi="Calibri" w:cs="Calibri"/>
          <w:color w:val="444444"/>
          <w:sz w:val="22"/>
          <w:szCs w:val="22"/>
        </w:rPr>
        <w:t>*</w:t>
      </w:r>
      <w:r w:rsidRPr="005B22CE">
        <w:rPr>
          <w:rFonts w:ascii="Calibri" w:hAnsi="Calibri" w:cs="Calibri"/>
          <w:color w:val="444444"/>
          <w:sz w:val="22"/>
          <w:szCs w:val="22"/>
        </w:rPr>
        <w:t>Staff members, who have been affected by suicide and do not wish to undertake the ZSA training, are exempt from completing it.</w:t>
      </w:r>
    </w:p>
    <w:p w14:paraId="207DCA84" w14:textId="3F5383C0" w:rsidR="00CC2A71" w:rsidRPr="00E033A2" w:rsidRDefault="00CC2A71" w:rsidP="00E033A2">
      <w:pPr>
        <w:spacing w:before="24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BF6EF2">
        <w:rPr>
          <w:rFonts w:asciiTheme="minorHAnsi" w:hAnsiTheme="minorHAnsi" w:cstheme="minorHAnsi"/>
          <w:color w:val="444444"/>
          <w:sz w:val="22"/>
          <w:szCs w:val="22"/>
        </w:rPr>
        <w:t>The following terms are used in the requirements to define different types of staff:</w:t>
      </w:r>
    </w:p>
    <w:p w14:paraId="14CEF8B5" w14:textId="77777777" w:rsidR="00CC2A71" w:rsidRPr="00BF6EF2" w:rsidRDefault="00CC2A71" w:rsidP="00CC2A71">
      <w:pPr>
        <w:pStyle w:val="ListParagraph"/>
        <w:numPr>
          <w:ilvl w:val="0"/>
          <w:numId w:val="2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444444"/>
        </w:rPr>
      </w:pPr>
      <w:r w:rsidRPr="00BF6EF2">
        <w:rPr>
          <w:rFonts w:asciiTheme="minorHAnsi" w:hAnsiTheme="minorHAnsi" w:cstheme="minorHAnsi"/>
          <w:b/>
          <w:bCs/>
          <w:color w:val="444444"/>
        </w:rPr>
        <w:t>Registered pharmacy professionals</w:t>
      </w:r>
      <w:r w:rsidRPr="00BF6EF2">
        <w:rPr>
          <w:rFonts w:asciiTheme="minorHAnsi" w:hAnsiTheme="minorHAnsi" w:cstheme="minorHAnsi"/>
          <w:color w:val="444444"/>
        </w:rPr>
        <w:t> are pharmacists, provisionally registered pharmacists, pharmacy technicians and locum pharmacists.</w:t>
      </w:r>
    </w:p>
    <w:p w14:paraId="6327E78E" w14:textId="77777777" w:rsidR="00CC2A71" w:rsidRPr="00BF6EF2" w:rsidRDefault="00CC2A71" w:rsidP="00CC2A71">
      <w:pPr>
        <w:pStyle w:val="ListParagraph"/>
        <w:numPr>
          <w:ilvl w:val="0"/>
          <w:numId w:val="2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444444"/>
        </w:rPr>
      </w:pPr>
      <w:r w:rsidRPr="00BF6EF2">
        <w:rPr>
          <w:rFonts w:asciiTheme="minorHAnsi" w:hAnsiTheme="minorHAnsi" w:cstheme="minorHAnsi"/>
          <w:b/>
          <w:bCs/>
          <w:color w:val="444444"/>
        </w:rPr>
        <w:t>Non-registered patient-facing pharmacy staff</w:t>
      </w:r>
      <w:r w:rsidRPr="00BF6EF2">
        <w:rPr>
          <w:rFonts w:asciiTheme="minorHAnsi" w:hAnsiTheme="minorHAnsi" w:cstheme="minorHAnsi"/>
          <w:color w:val="444444"/>
        </w:rPr>
        <w:t> include all pre-registration graduates, dispensary staff, medicine counter assistants and delivery drivers.</w:t>
      </w:r>
    </w:p>
    <w:p w14:paraId="0CEB2E72" w14:textId="77777777" w:rsidR="00CC2A71" w:rsidRPr="00BF6EF2" w:rsidRDefault="00CC2A71" w:rsidP="00CC2A71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444444"/>
        </w:rPr>
      </w:pPr>
      <w:r w:rsidRPr="00BF6EF2">
        <w:rPr>
          <w:rFonts w:asciiTheme="minorHAnsi" w:hAnsiTheme="minorHAnsi" w:cstheme="minorHAnsi"/>
          <w:b/>
          <w:bCs/>
          <w:color w:val="444444"/>
        </w:rPr>
        <w:t>Non-registered patient-facing pharmacy staff</w:t>
      </w:r>
      <w:r w:rsidRPr="00BF6EF2">
        <w:rPr>
          <w:rFonts w:asciiTheme="minorHAnsi" w:hAnsiTheme="minorHAnsi" w:cstheme="minorHAnsi"/>
          <w:color w:val="444444"/>
        </w:rPr>
        <w:t> </w:t>
      </w:r>
      <w:r w:rsidRPr="00BF6EF2">
        <w:rPr>
          <w:rFonts w:asciiTheme="minorHAnsi" w:hAnsiTheme="minorHAnsi" w:cstheme="minorHAnsi"/>
          <w:b/>
          <w:bCs/>
          <w:color w:val="444444"/>
        </w:rPr>
        <w:t>with a </w:t>
      </w:r>
      <w:r w:rsidRPr="00BF6EF2">
        <w:rPr>
          <w:rFonts w:asciiTheme="minorHAnsi" w:hAnsiTheme="minorHAnsi" w:cstheme="minorHAnsi"/>
          <w:b/>
          <w:bCs/>
          <w:color w:val="444444"/>
          <w:u w:val="single"/>
        </w:rPr>
        <w:t>health promoting advice role</w:t>
      </w:r>
      <w:r w:rsidRPr="00BF6EF2">
        <w:rPr>
          <w:rFonts w:asciiTheme="minorHAnsi" w:hAnsiTheme="minorHAnsi" w:cstheme="minorHAnsi"/>
          <w:color w:val="444444"/>
        </w:rPr>
        <w:t> include all pre-registration trainees, dispensary staff and medicine counter assistants.</w:t>
      </w:r>
    </w:p>
    <w:p w14:paraId="3561888E" w14:textId="77777777" w:rsidR="00CC2A71" w:rsidRPr="00BF6EF2" w:rsidRDefault="00CC2A71" w:rsidP="00CC2A71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444444"/>
        </w:rPr>
      </w:pPr>
      <w:r w:rsidRPr="00BF6EF2">
        <w:rPr>
          <w:rFonts w:asciiTheme="minorHAnsi" w:hAnsiTheme="minorHAnsi" w:cstheme="minorHAnsi"/>
          <w:b/>
          <w:bCs/>
          <w:color w:val="444444"/>
        </w:rPr>
        <w:t>Staff with a patient-facing role</w:t>
      </w:r>
      <w:r w:rsidRPr="00BF6EF2">
        <w:rPr>
          <w:rFonts w:asciiTheme="minorHAnsi" w:hAnsiTheme="minorHAnsi" w:cstheme="minorHAnsi"/>
          <w:color w:val="444444"/>
        </w:rPr>
        <w:t> include all registered pharmacy professionals, all pre-registration graduates, dispensary staff, medicine counter assistants, delivery drivers and locum pharmacists. Contractors may also have other staff that can be identified as having patient-facing roles.</w:t>
      </w:r>
    </w:p>
    <w:p w14:paraId="79C091D0" w14:textId="77777777" w:rsidR="00CC2A71" w:rsidRPr="00BF6EF2" w:rsidRDefault="00CC2A71" w:rsidP="00CC2A71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444444"/>
        </w:rPr>
      </w:pPr>
      <w:r w:rsidRPr="00BF6EF2">
        <w:rPr>
          <w:rFonts w:asciiTheme="minorHAnsi" w:hAnsiTheme="minorHAnsi" w:cstheme="minorHAnsi"/>
          <w:b/>
          <w:bCs/>
          <w:color w:val="444444"/>
        </w:rPr>
        <w:t>Staff with a patient-facing role that </w:t>
      </w:r>
      <w:r w:rsidRPr="00BF6EF2">
        <w:rPr>
          <w:rFonts w:asciiTheme="minorHAnsi" w:hAnsiTheme="minorHAnsi" w:cstheme="minorHAnsi"/>
          <w:b/>
          <w:bCs/>
          <w:color w:val="444444"/>
          <w:u w:val="single"/>
        </w:rPr>
        <w:t>provide advice on medicines or healthcare</w:t>
      </w:r>
      <w:r w:rsidRPr="00BF6EF2">
        <w:rPr>
          <w:rFonts w:asciiTheme="minorHAnsi" w:hAnsiTheme="minorHAnsi" w:cstheme="minorHAnsi"/>
          <w:color w:val="444444"/>
        </w:rPr>
        <w:t> include all registered pharmacy professionals, all pre-registration graduates, dispensary staff, medicine counter assistants and locum pharmacists.</w:t>
      </w:r>
    </w:p>
    <w:p w14:paraId="6BA6DDC8" w14:textId="77777777" w:rsidR="00CC2A71" w:rsidRPr="00E033A2" w:rsidRDefault="00CC2A71" w:rsidP="00CC2A71">
      <w:pPr>
        <w:spacing w:line="276" w:lineRule="auto"/>
        <w:jc w:val="both"/>
        <w:rPr>
          <w:rFonts w:asciiTheme="minorHAnsi" w:hAnsiTheme="minorHAnsi" w:cstheme="minorHAnsi"/>
          <w:color w:val="444444"/>
          <w:sz w:val="10"/>
          <w:szCs w:val="10"/>
        </w:rPr>
      </w:pPr>
    </w:p>
    <w:p w14:paraId="383230C0" w14:textId="5D441212" w:rsidR="00CC2A71" w:rsidRPr="00E033A2" w:rsidRDefault="00CC2A71" w:rsidP="00E033A2">
      <w:pPr>
        <w:spacing w:line="276" w:lineRule="auto"/>
        <w:jc w:val="both"/>
        <w:rPr>
          <w:rFonts w:asciiTheme="minorHAnsi" w:hAnsiTheme="minorHAnsi" w:cstheme="minorHAnsi"/>
          <w:b/>
          <w:bCs/>
          <w:color w:val="E50063"/>
          <w:sz w:val="22"/>
          <w:szCs w:val="22"/>
        </w:rPr>
      </w:pPr>
      <w:r w:rsidRPr="008B32A3">
        <w:rPr>
          <w:rFonts w:asciiTheme="minorHAnsi" w:hAnsiTheme="minorHAnsi" w:cstheme="minorHAnsi"/>
          <w:b/>
          <w:bCs/>
          <w:color w:val="E50063"/>
          <w:sz w:val="22"/>
          <w:szCs w:val="22"/>
        </w:rPr>
        <w:t>In relation to the training requirements within the various criteria, in all cases at the time of making your PQS declaration, there is a requirement to have available at the pharmacy premises, a copy of the personalised certificate provided upon completion of the training and assessment, as evidence that all relevant members of staff have completed the training.</w:t>
      </w:r>
    </w:p>
    <w:sectPr w:rsidR="00CC2A71" w:rsidRPr="00E033A2" w:rsidSect="00E033A2">
      <w:headerReference w:type="default" r:id="rId18"/>
      <w:type w:val="continuous"/>
      <w:pgSz w:w="16820" w:h="11900" w:orient="landscape"/>
      <w:pgMar w:top="907" w:right="1028" w:bottom="567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8B89" w14:textId="77777777" w:rsidR="001E6317" w:rsidRDefault="001E6317" w:rsidP="00D068CA">
      <w:r>
        <w:separator/>
      </w:r>
    </w:p>
  </w:endnote>
  <w:endnote w:type="continuationSeparator" w:id="0">
    <w:p w14:paraId="41904054" w14:textId="77777777" w:rsidR="001E6317" w:rsidRDefault="001E6317" w:rsidP="00D0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A5AD" w14:textId="77777777" w:rsidR="001E6317" w:rsidRDefault="001E6317" w:rsidP="00D068CA">
      <w:r>
        <w:separator/>
      </w:r>
    </w:p>
  </w:footnote>
  <w:footnote w:type="continuationSeparator" w:id="0">
    <w:p w14:paraId="69F09AF6" w14:textId="77777777" w:rsidR="001E6317" w:rsidRDefault="001E6317" w:rsidP="00D0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D64F" w14:textId="4A943D81" w:rsidR="008B32A3" w:rsidRDefault="00E033A2" w:rsidP="008B32A3">
    <w:pPr>
      <w:pStyle w:val="Header"/>
      <w:jc w:val="right"/>
    </w:pPr>
    <w:r>
      <w:rPr>
        <w:noProof/>
      </w:rPr>
      <w:drawing>
        <wp:inline distT="0" distB="0" distL="0" distR="0" wp14:anchorId="34085502" wp14:editId="0DB8B9B5">
          <wp:extent cx="2539649" cy="112395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655" cy="113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47A"/>
    <w:multiLevelType w:val="multilevel"/>
    <w:tmpl w:val="F1944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F2A"/>
    <w:multiLevelType w:val="hybridMultilevel"/>
    <w:tmpl w:val="14961E26"/>
    <w:lvl w:ilvl="0" w:tplc="E002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89A"/>
    <w:multiLevelType w:val="hybridMultilevel"/>
    <w:tmpl w:val="E30E4370"/>
    <w:lvl w:ilvl="0" w:tplc="D41822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612"/>
    <w:multiLevelType w:val="hybridMultilevel"/>
    <w:tmpl w:val="A5E617A8"/>
    <w:lvl w:ilvl="0" w:tplc="FFE24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96B80"/>
    <w:multiLevelType w:val="hybridMultilevel"/>
    <w:tmpl w:val="342AB396"/>
    <w:lvl w:ilvl="0" w:tplc="EEF8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03C3"/>
    <w:multiLevelType w:val="hybridMultilevel"/>
    <w:tmpl w:val="653058E6"/>
    <w:lvl w:ilvl="0" w:tplc="E298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23B6"/>
    <w:multiLevelType w:val="hybridMultilevel"/>
    <w:tmpl w:val="45DC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B7B4A"/>
    <w:multiLevelType w:val="multilevel"/>
    <w:tmpl w:val="13C2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1266C"/>
    <w:multiLevelType w:val="hybridMultilevel"/>
    <w:tmpl w:val="0F64C17C"/>
    <w:lvl w:ilvl="0" w:tplc="41EED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51F4"/>
    <w:multiLevelType w:val="hybridMultilevel"/>
    <w:tmpl w:val="75B6633A"/>
    <w:lvl w:ilvl="0" w:tplc="FFA4E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7499"/>
    <w:multiLevelType w:val="hybridMultilevel"/>
    <w:tmpl w:val="DAF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25ED"/>
    <w:multiLevelType w:val="hybridMultilevel"/>
    <w:tmpl w:val="7A04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24C60"/>
    <w:multiLevelType w:val="hybridMultilevel"/>
    <w:tmpl w:val="B3A8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C4ECC"/>
    <w:multiLevelType w:val="hybridMultilevel"/>
    <w:tmpl w:val="D96ED400"/>
    <w:lvl w:ilvl="0" w:tplc="BC8E2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4C30"/>
    <w:multiLevelType w:val="hybridMultilevel"/>
    <w:tmpl w:val="588ECD58"/>
    <w:lvl w:ilvl="0" w:tplc="1B74A556">
      <w:start w:val="1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444444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339"/>
    <w:multiLevelType w:val="hybridMultilevel"/>
    <w:tmpl w:val="14CE6FB4"/>
    <w:lvl w:ilvl="0" w:tplc="C302A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C1C30"/>
    <w:multiLevelType w:val="hybridMultilevel"/>
    <w:tmpl w:val="3C4CB04C"/>
    <w:lvl w:ilvl="0" w:tplc="E8C435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34C08B6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8AF8C880"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4D624254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0D164F10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96B40BC4"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ACF0FD88">
      <w:numFmt w:val="bullet"/>
      <w:lvlText w:val="•"/>
      <w:lvlJc w:val="left"/>
      <w:pPr>
        <w:ind w:left="3303" w:hanging="360"/>
      </w:pPr>
      <w:rPr>
        <w:rFonts w:hint="default"/>
      </w:rPr>
    </w:lvl>
    <w:lvl w:ilvl="7" w:tplc="EC40E214">
      <w:numFmt w:val="bullet"/>
      <w:lvlText w:val="•"/>
      <w:lvlJc w:val="left"/>
      <w:pPr>
        <w:ind w:left="3717" w:hanging="360"/>
      </w:pPr>
      <w:rPr>
        <w:rFonts w:hint="default"/>
      </w:rPr>
    </w:lvl>
    <w:lvl w:ilvl="8" w:tplc="959E49DA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17" w15:restartNumberingAfterBreak="0">
    <w:nsid w:val="623276C9"/>
    <w:multiLevelType w:val="hybridMultilevel"/>
    <w:tmpl w:val="C2EEB666"/>
    <w:lvl w:ilvl="0" w:tplc="9460B5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A1783"/>
    <w:multiLevelType w:val="hybridMultilevel"/>
    <w:tmpl w:val="8F06623C"/>
    <w:lvl w:ilvl="0" w:tplc="249CCC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A7B93"/>
    <w:multiLevelType w:val="hybridMultilevel"/>
    <w:tmpl w:val="FDA2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5221D"/>
    <w:multiLevelType w:val="hybridMultilevel"/>
    <w:tmpl w:val="F4A0309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4DB37D0"/>
    <w:multiLevelType w:val="hybridMultilevel"/>
    <w:tmpl w:val="D896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8"/>
  </w:num>
  <w:num w:numId="5">
    <w:abstractNumId w:val="21"/>
  </w:num>
  <w:num w:numId="6">
    <w:abstractNumId w:val="14"/>
  </w:num>
  <w:num w:numId="7">
    <w:abstractNumId w:val="17"/>
  </w:num>
  <w:num w:numId="8">
    <w:abstractNumId w:val="2"/>
  </w:num>
  <w:num w:numId="9">
    <w:abstractNumId w:val="18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20"/>
  </w:num>
  <w:num w:numId="16">
    <w:abstractNumId w:val="5"/>
  </w:num>
  <w:num w:numId="17">
    <w:abstractNumId w:val="3"/>
  </w:num>
  <w:num w:numId="18">
    <w:abstractNumId w:val="15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EE"/>
    <w:rsid w:val="0001059E"/>
    <w:rsid w:val="000304A8"/>
    <w:rsid w:val="000316EB"/>
    <w:rsid w:val="00032A30"/>
    <w:rsid w:val="00043925"/>
    <w:rsid w:val="000559AB"/>
    <w:rsid w:val="00057DA6"/>
    <w:rsid w:val="00083DB0"/>
    <w:rsid w:val="00083E16"/>
    <w:rsid w:val="00090F50"/>
    <w:rsid w:val="00091F50"/>
    <w:rsid w:val="000A5EA8"/>
    <w:rsid w:val="000A71D7"/>
    <w:rsid w:val="000B4695"/>
    <w:rsid w:val="000C794E"/>
    <w:rsid w:val="000D45D3"/>
    <w:rsid w:val="000D6C7D"/>
    <w:rsid w:val="000E537A"/>
    <w:rsid w:val="000E6908"/>
    <w:rsid w:val="000F5584"/>
    <w:rsid w:val="001002C9"/>
    <w:rsid w:val="0011283A"/>
    <w:rsid w:val="00120975"/>
    <w:rsid w:val="00122ABA"/>
    <w:rsid w:val="001239BC"/>
    <w:rsid w:val="00123DC6"/>
    <w:rsid w:val="0012477E"/>
    <w:rsid w:val="00125655"/>
    <w:rsid w:val="00132D40"/>
    <w:rsid w:val="0016609E"/>
    <w:rsid w:val="001673F1"/>
    <w:rsid w:val="00173D17"/>
    <w:rsid w:val="001A2346"/>
    <w:rsid w:val="001C05AB"/>
    <w:rsid w:val="001C63DE"/>
    <w:rsid w:val="001C64A2"/>
    <w:rsid w:val="001C7E0B"/>
    <w:rsid w:val="001D7A1B"/>
    <w:rsid w:val="001E6317"/>
    <w:rsid w:val="001F0A13"/>
    <w:rsid w:val="00204E6B"/>
    <w:rsid w:val="00206F81"/>
    <w:rsid w:val="00226C4A"/>
    <w:rsid w:val="0023398A"/>
    <w:rsid w:val="002356CE"/>
    <w:rsid w:val="00236FB8"/>
    <w:rsid w:val="002436B7"/>
    <w:rsid w:val="00250B3E"/>
    <w:rsid w:val="00256672"/>
    <w:rsid w:val="0027309F"/>
    <w:rsid w:val="00282995"/>
    <w:rsid w:val="002A05A3"/>
    <w:rsid w:val="002A4BF0"/>
    <w:rsid w:val="002B1ED7"/>
    <w:rsid w:val="002B2EC6"/>
    <w:rsid w:val="002C2414"/>
    <w:rsid w:val="002D3FCC"/>
    <w:rsid w:val="002D7E5A"/>
    <w:rsid w:val="002F5348"/>
    <w:rsid w:val="002F5C98"/>
    <w:rsid w:val="00303C90"/>
    <w:rsid w:val="0031529A"/>
    <w:rsid w:val="00315A28"/>
    <w:rsid w:val="00321711"/>
    <w:rsid w:val="00325253"/>
    <w:rsid w:val="003329D3"/>
    <w:rsid w:val="00332E07"/>
    <w:rsid w:val="00340321"/>
    <w:rsid w:val="00371D64"/>
    <w:rsid w:val="0038033E"/>
    <w:rsid w:val="00396D1F"/>
    <w:rsid w:val="003A68B1"/>
    <w:rsid w:val="003B0557"/>
    <w:rsid w:val="003B1E70"/>
    <w:rsid w:val="003D609D"/>
    <w:rsid w:val="003D699C"/>
    <w:rsid w:val="003E0176"/>
    <w:rsid w:val="00402282"/>
    <w:rsid w:val="00412B14"/>
    <w:rsid w:val="00420D8D"/>
    <w:rsid w:val="00426F33"/>
    <w:rsid w:val="00432637"/>
    <w:rsid w:val="00432E56"/>
    <w:rsid w:val="004601B6"/>
    <w:rsid w:val="00467C0C"/>
    <w:rsid w:val="00482079"/>
    <w:rsid w:val="00491977"/>
    <w:rsid w:val="00491A82"/>
    <w:rsid w:val="004A2028"/>
    <w:rsid w:val="004B1056"/>
    <w:rsid w:val="004B544D"/>
    <w:rsid w:val="004C7123"/>
    <w:rsid w:val="004D4917"/>
    <w:rsid w:val="004D57E8"/>
    <w:rsid w:val="004E7645"/>
    <w:rsid w:val="004E7CDF"/>
    <w:rsid w:val="00502204"/>
    <w:rsid w:val="00510513"/>
    <w:rsid w:val="0054710F"/>
    <w:rsid w:val="00547D4D"/>
    <w:rsid w:val="0056692C"/>
    <w:rsid w:val="00574834"/>
    <w:rsid w:val="00576120"/>
    <w:rsid w:val="0058212E"/>
    <w:rsid w:val="005A3A19"/>
    <w:rsid w:val="005B22CE"/>
    <w:rsid w:val="005C4B51"/>
    <w:rsid w:val="005C5F41"/>
    <w:rsid w:val="005D4BAB"/>
    <w:rsid w:val="005D6541"/>
    <w:rsid w:val="005E5A26"/>
    <w:rsid w:val="005F269C"/>
    <w:rsid w:val="00630806"/>
    <w:rsid w:val="00633CE7"/>
    <w:rsid w:val="00634C32"/>
    <w:rsid w:val="00647109"/>
    <w:rsid w:val="006661B0"/>
    <w:rsid w:val="00670E88"/>
    <w:rsid w:val="00687BAC"/>
    <w:rsid w:val="00694D3D"/>
    <w:rsid w:val="00696525"/>
    <w:rsid w:val="0069774F"/>
    <w:rsid w:val="006A1F12"/>
    <w:rsid w:val="006C2953"/>
    <w:rsid w:val="006C6184"/>
    <w:rsid w:val="006D128B"/>
    <w:rsid w:val="006D2ACE"/>
    <w:rsid w:val="006F1DFD"/>
    <w:rsid w:val="007004CC"/>
    <w:rsid w:val="007007D0"/>
    <w:rsid w:val="00704004"/>
    <w:rsid w:val="007063E8"/>
    <w:rsid w:val="007173FA"/>
    <w:rsid w:val="00717DD9"/>
    <w:rsid w:val="0072124D"/>
    <w:rsid w:val="00745E23"/>
    <w:rsid w:val="00746D47"/>
    <w:rsid w:val="00755D5D"/>
    <w:rsid w:val="00756A74"/>
    <w:rsid w:val="0076553F"/>
    <w:rsid w:val="00791D37"/>
    <w:rsid w:val="00795FC5"/>
    <w:rsid w:val="007B53AD"/>
    <w:rsid w:val="007E00EC"/>
    <w:rsid w:val="007E06BC"/>
    <w:rsid w:val="007E78FA"/>
    <w:rsid w:val="00803ED8"/>
    <w:rsid w:val="00805D46"/>
    <w:rsid w:val="00827D92"/>
    <w:rsid w:val="00830B9C"/>
    <w:rsid w:val="00862767"/>
    <w:rsid w:val="0086597C"/>
    <w:rsid w:val="0088343C"/>
    <w:rsid w:val="008912BF"/>
    <w:rsid w:val="008914B7"/>
    <w:rsid w:val="00897477"/>
    <w:rsid w:val="008A5768"/>
    <w:rsid w:val="008B32A3"/>
    <w:rsid w:val="008B68D7"/>
    <w:rsid w:val="008B7360"/>
    <w:rsid w:val="008B7A11"/>
    <w:rsid w:val="008C3140"/>
    <w:rsid w:val="008F0443"/>
    <w:rsid w:val="00914D97"/>
    <w:rsid w:val="00914E4F"/>
    <w:rsid w:val="0091506B"/>
    <w:rsid w:val="009211AA"/>
    <w:rsid w:val="00930EF7"/>
    <w:rsid w:val="00932819"/>
    <w:rsid w:val="00936D3D"/>
    <w:rsid w:val="009405B6"/>
    <w:rsid w:val="00941BAC"/>
    <w:rsid w:val="00943341"/>
    <w:rsid w:val="00951F12"/>
    <w:rsid w:val="009529E4"/>
    <w:rsid w:val="00962F55"/>
    <w:rsid w:val="00964454"/>
    <w:rsid w:val="0097423C"/>
    <w:rsid w:val="00977FF3"/>
    <w:rsid w:val="0098031C"/>
    <w:rsid w:val="009836EA"/>
    <w:rsid w:val="0099246F"/>
    <w:rsid w:val="009A0FE0"/>
    <w:rsid w:val="009A1A9D"/>
    <w:rsid w:val="009A7483"/>
    <w:rsid w:val="009B28B3"/>
    <w:rsid w:val="009B4223"/>
    <w:rsid w:val="009C25EE"/>
    <w:rsid w:val="009C60A4"/>
    <w:rsid w:val="009E3B46"/>
    <w:rsid w:val="009E47F5"/>
    <w:rsid w:val="009E7EAA"/>
    <w:rsid w:val="009F5428"/>
    <w:rsid w:val="00A03979"/>
    <w:rsid w:val="00A1419B"/>
    <w:rsid w:val="00A20FB0"/>
    <w:rsid w:val="00A260E7"/>
    <w:rsid w:val="00A36638"/>
    <w:rsid w:val="00A403BE"/>
    <w:rsid w:val="00A44ADD"/>
    <w:rsid w:val="00A44F90"/>
    <w:rsid w:val="00A53C99"/>
    <w:rsid w:val="00A61383"/>
    <w:rsid w:val="00A635C5"/>
    <w:rsid w:val="00A665D7"/>
    <w:rsid w:val="00A70128"/>
    <w:rsid w:val="00A7436D"/>
    <w:rsid w:val="00A837F7"/>
    <w:rsid w:val="00A90F72"/>
    <w:rsid w:val="00AB3BD6"/>
    <w:rsid w:val="00AD4528"/>
    <w:rsid w:val="00AD4804"/>
    <w:rsid w:val="00AF27E4"/>
    <w:rsid w:val="00B13FE1"/>
    <w:rsid w:val="00B43DB1"/>
    <w:rsid w:val="00B4404D"/>
    <w:rsid w:val="00B452AD"/>
    <w:rsid w:val="00B467BC"/>
    <w:rsid w:val="00B61595"/>
    <w:rsid w:val="00B74475"/>
    <w:rsid w:val="00B81807"/>
    <w:rsid w:val="00BA1576"/>
    <w:rsid w:val="00BA3BDE"/>
    <w:rsid w:val="00BB21CA"/>
    <w:rsid w:val="00BD3317"/>
    <w:rsid w:val="00BD73FD"/>
    <w:rsid w:val="00BF03B4"/>
    <w:rsid w:val="00BF3646"/>
    <w:rsid w:val="00BF4450"/>
    <w:rsid w:val="00BF676C"/>
    <w:rsid w:val="00C00D66"/>
    <w:rsid w:val="00C108F5"/>
    <w:rsid w:val="00C33828"/>
    <w:rsid w:val="00C4646D"/>
    <w:rsid w:val="00C464D0"/>
    <w:rsid w:val="00C528E5"/>
    <w:rsid w:val="00C6153F"/>
    <w:rsid w:val="00C7078B"/>
    <w:rsid w:val="00C73DED"/>
    <w:rsid w:val="00C74235"/>
    <w:rsid w:val="00C86388"/>
    <w:rsid w:val="00C96D50"/>
    <w:rsid w:val="00CB4BCA"/>
    <w:rsid w:val="00CC2A71"/>
    <w:rsid w:val="00CC78D3"/>
    <w:rsid w:val="00CD1E58"/>
    <w:rsid w:val="00CE2316"/>
    <w:rsid w:val="00CF4993"/>
    <w:rsid w:val="00D01DF6"/>
    <w:rsid w:val="00D062EF"/>
    <w:rsid w:val="00D068CA"/>
    <w:rsid w:val="00D21CED"/>
    <w:rsid w:val="00D23496"/>
    <w:rsid w:val="00D33AD0"/>
    <w:rsid w:val="00D4256A"/>
    <w:rsid w:val="00D5055A"/>
    <w:rsid w:val="00D55304"/>
    <w:rsid w:val="00D55933"/>
    <w:rsid w:val="00D7353D"/>
    <w:rsid w:val="00D7365A"/>
    <w:rsid w:val="00D8557C"/>
    <w:rsid w:val="00D863D9"/>
    <w:rsid w:val="00D94330"/>
    <w:rsid w:val="00D964FF"/>
    <w:rsid w:val="00DA2241"/>
    <w:rsid w:val="00DA6995"/>
    <w:rsid w:val="00DB2018"/>
    <w:rsid w:val="00DB7FDE"/>
    <w:rsid w:val="00DC2F02"/>
    <w:rsid w:val="00DC4854"/>
    <w:rsid w:val="00DD6FAA"/>
    <w:rsid w:val="00DD7715"/>
    <w:rsid w:val="00DF2A50"/>
    <w:rsid w:val="00DF668E"/>
    <w:rsid w:val="00E033A2"/>
    <w:rsid w:val="00E0440E"/>
    <w:rsid w:val="00E2519C"/>
    <w:rsid w:val="00E2650E"/>
    <w:rsid w:val="00E3091B"/>
    <w:rsid w:val="00E3125E"/>
    <w:rsid w:val="00E43DCA"/>
    <w:rsid w:val="00E555E6"/>
    <w:rsid w:val="00E77315"/>
    <w:rsid w:val="00E77A41"/>
    <w:rsid w:val="00E93CDE"/>
    <w:rsid w:val="00E93D51"/>
    <w:rsid w:val="00EA7DE3"/>
    <w:rsid w:val="00EB5986"/>
    <w:rsid w:val="00EC2410"/>
    <w:rsid w:val="00ED5739"/>
    <w:rsid w:val="00EE17C6"/>
    <w:rsid w:val="00EF23F9"/>
    <w:rsid w:val="00EF384D"/>
    <w:rsid w:val="00EF3E5F"/>
    <w:rsid w:val="00EF3EC2"/>
    <w:rsid w:val="00F0613D"/>
    <w:rsid w:val="00F138D9"/>
    <w:rsid w:val="00F35A47"/>
    <w:rsid w:val="00F467DC"/>
    <w:rsid w:val="00F544DC"/>
    <w:rsid w:val="00F612C3"/>
    <w:rsid w:val="00F67888"/>
    <w:rsid w:val="00F70C86"/>
    <w:rsid w:val="00F736FF"/>
    <w:rsid w:val="00F91D48"/>
    <w:rsid w:val="00FA2294"/>
    <w:rsid w:val="00FB2A5C"/>
    <w:rsid w:val="00FB5A43"/>
    <w:rsid w:val="00FC62ED"/>
    <w:rsid w:val="00FD06DA"/>
    <w:rsid w:val="00FF0B6C"/>
    <w:rsid w:val="00FF13EE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A3D062"/>
  <w15:docId w15:val="{292D2980-E6E5-5247-BBC2-65419F6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D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ind w:left="228"/>
      <w:outlineLvl w:val="0"/>
    </w:pPr>
    <w:rPr>
      <w:rFonts w:ascii="Calibri Light" w:eastAsia="Calibri Light" w:hAnsi="Calibri Light" w:cs="Calibri Light"/>
      <w:sz w:val="28"/>
      <w:szCs w:val="28"/>
      <w:lang w:val="en-US" w:eastAsia="en-US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ind w:left="3775"/>
      <w:outlineLvl w:val="1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5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1D37"/>
    <w:pPr>
      <w:spacing w:before="100" w:beforeAutospacing="1" w:after="100" w:afterAutospacing="1"/>
    </w:pPr>
    <w:rPr>
      <w:rFonts w:asciiTheme="minorHAnsi" w:hAnsiTheme="minorHAnsi"/>
      <w:sz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635C5"/>
    <w:rPr>
      <w:rFonts w:asciiTheme="minorHAnsi" w:hAnsiTheme="minorHAnsi" w:cstheme="minorHAnsi"/>
      <w:color w:val="0000FF" w:themeColor="hyperlink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1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0D8D"/>
  </w:style>
  <w:style w:type="character" w:styleId="Strong">
    <w:name w:val="Strong"/>
    <w:basedOn w:val="DefaultParagraphFont"/>
    <w:uiPriority w:val="22"/>
    <w:qFormat/>
    <w:rsid w:val="004820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2079"/>
    <w:rPr>
      <w:rFonts w:ascii="Calibri Light" w:eastAsia="Calibri Light" w:hAnsi="Calibri Light" w:cs="Calibri Light"/>
      <w:sz w:val="28"/>
      <w:szCs w:val="28"/>
    </w:rPr>
  </w:style>
  <w:style w:type="character" w:customStyle="1" w:styleId="colsname">
    <w:name w:val="colsname"/>
    <w:basedOn w:val="DefaultParagraphFont"/>
    <w:rsid w:val="002A05A3"/>
  </w:style>
  <w:style w:type="character" w:customStyle="1" w:styleId="colsdesc">
    <w:name w:val="colsdesc"/>
    <w:basedOn w:val="DefaultParagraphFont"/>
    <w:rsid w:val="002A05A3"/>
  </w:style>
  <w:style w:type="table" w:styleId="TableGrid">
    <w:name w:val="Table Grid"/>
    <w:basedOn w:val="TableNormal"/>
    <w:uiPriority w:val="39"/>
    <w:rsid w:val="002A05A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A05A3"/>
    <w:rPr>
      <w:rFonts w:eastAsiaTheme="minorHAns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5A3"/>
    <w:rPr>
      <w:rFonts w:ascii="Times New Roman" w:hAnsi="Times New Roman" w:cs="Times New Roman"/>
      <w:sz w:val="21"/>
      <w:szCs w:val="21"/>
      <w:lang w:val="en-GB" w:eastAsia="en-GB"/>
    </w:rPr>
  </w:style>
  <w:style w:type="table" w:customStyle="1" w:styleId="TableGrid0">
    <w:name w:val="TableGrid"/>
    <w:rsid w:val="002A05A3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A3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A3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NoSpacing">
    <w:name w:val="No Spacing"/>
    <w:basedOn w:val="Normal"/>
    <w:uiPriority w:val="1"/>
    <w:qFormat/>
    <w:rsid w:val="00226C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0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0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A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A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13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1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GridTable4-Accent1">
    <w:name w:val="Grid Table 4 Accent 1"/>
    <w:basedOn w:val="TableNormal"/>
    <w:uiPriority w:val="49"/>
    <w:rsid w:val="00962F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962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962F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F04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8F04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services-commissioning/pharmacy-quality-scheme/" TargetMode="External"/><Relationship Id="rId13" Type="http://schemas.openxmlformats.org/officeDocument/2006/relationships/hyperlink" Target="https://www.zerosuicidealliance.com/training/pharmacy-quality-standard-training?utm_source=pharmacy&amp;utm_campaign=quality_standar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tibioticguardian.com" TargetMode="External"/><Relationship Id="rId17" Type="http://schemas.openxmlformats.org/officeDocument/2006/relationships/hyperlink" Target="https://www.cppe.ac.uk/gateway/sep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pe.ac.uk/programmes/l/riskman-g-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-lfh.org.uk/Component/Details/6028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pe.ac.uk/programmes/l/weightman-e-01" TargetMode="External"/><Relationship Id="rId10" Type="http://schemas.openxmlformats.org/officeDocument/2006/relationships/hyperlink" Target="https://portal.e-lfh.org.uk/Component/Details/5580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e-lfh.org.uk/Component/Details/459777" TargetMode="External"/><Relationship Id="rId14" Type="http://schemas.openxmlformats.org/officeDocument/2006/relationships/hyperlink" Target="https://www.e-lfh.org.uk/programmes/all-our-heal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F0CCB-50EF-6945-9417-7D72E30F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Kathryn Jones</cp:lastModifiedBy>
  <cp:revision>2</cp:revision>
  <cp:lastPrinted>2020-09-09T14:09:00Z</cp:lastPrinted>
  <dcterms:created xsi:type="dcterms:W3CDTF">2020-09-25T09:06:00Z</dcterms:created>
  <dcterms:modified xsi:type="dcterms:W3CDTF">2020-09-25T09:06:00Z</dcterms:modified>
</cp:coreProperties>
</file>